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635000" w="635000">
                              <a:moveTo>
                                <a:pt x="0" y="0"/>
                              </a:moveTo>
                              <a:lnTo>
                                <a:pt x="635000" y="0"/>
                              </a:lnTo>
                              <a:moveTo>
                                <a:pt x="0" y="635000"/>
                              </a:moveTo>
                              <a:lnTo>
                                <a:pt x="635000" y="6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6"/>
        <w:gridCol w:w="1543"/>
        <w:gridCol w:w="2384"/>
        <w:gridCol w:w="1349"/>
        <w:gridCol w:w="5821"/>
        <w:gridCol w:w="1105"/>
        <w:tblGridChange w:id="0">
          <w:tblGrid>
            <w:gridCol w:w="1746"/>
            <w:gridCol w:w="1543"/>
            <w:gridCol w:w="2384"/>
            <w:gridCol w:w="1349"/>
            <w:gridCol w:w="5821"/>
            <w:gridCol w:w="1105"/>
          </w:tblGrid>
        </w:tblGridChange>
      </w:tblGrid>
      <w:tr>
        <w:trPr>
          <w:cantSplit w:val="0"/>
          <w:tblHeader w:val="0"/>
        </w:trPr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Relationships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Keeping Safe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Understanding the Law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Well-Being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Oak Academy: Emotions, Community, Physical Health, Staying Safe &amp; Healthy, Puberty 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Gaps with suggested links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Year 4 </w:t>
      </w:r>
    </w:p>
    <w:tbl>
      <w:tblPr>
        <w:tblStyle w:val="Table2"/>
        <w:tblW w:w="1503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2124"/>
        <w:gridCol w:w="1792"/>
        <w:gridCol w:w="1711"/>
        <w:gridCol w:w="1370"/>
        <w:gridCol w:w="1503"/>
        <w:gridCol w:w="1641"/>
        <w:gridCol w:w="1469"/>
        <w:gridCol w:w="1338"/>
        <w:gridCol w:w="1272"/>
        <w:tblGridChange w:id="0">
          <w:tblGrid>
            <w:gridCol w:w="810"/>
            <w:gridCol w:w="2124"/>
            <w:gridCol w:w="1792"/>
            <w:gridCol w:w="1711"/>
            <w:gridCol w:w="1370"/>
            <w:gridCol w:w="1503"/>
            <w:gridCol w:w="1641"/>
            <w:gridCol w:w="1469"/>
            <w:gridCol w:w="1338"/>
            <w:gridCol w:w="1272"/>
          </w:tblGrid>
        </w:tblGridChange>
      </w:tblGrid>
      <w:tr>
        <w:trPr>
          <w:cantSplit w:val="0"/>
          <w:trHeight w:val="2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Half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5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6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7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8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Paths </w:t>
            </w:r>
          </w:p>
        </w:tc>
      </w:tr>
      <w:tr>
        <w:trPr>
          <w:cantSplit w:val="0"/>
          <w:trHeight w:val="15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E: Our emotions toolkit: self-esteem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E: Feeling down and lonely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E: Managing my emotions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E: Living happy lives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C: The Equality Act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C: Stereotypes and their impact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C: Prejudice and discrimination in Britain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Building a safe respectful community </w:t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days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Kindness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R: How can we be role models?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R: What is a healthy friendship?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R: What is discrimination?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R: What is diversity?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R: What is peer influence?</w:t>
            </w:r>
          </w:p>
        </w:tc>
        <w:tc>
          <w:tcPr>
            <w:shd w:fill="fae2d6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R: Who makes up my community?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Emotional awareness and triggers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Resilience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KS: How can I keep safe in my local area?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KS: How can we keep safe on the road?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KS: What are hazards in the home?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KS: What is first aid?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KS: Who do I encounter?</w:t>
            </w:r>
          </w:p>
        </w:tc>
        <w:tc>
          <w:tcPr>
            <w:shd w:fill="d1d1d1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GAP H9: Different ways to learn and play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Identity, strengths and growth </w:t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Positivity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UTL: How can I respect my environment?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UTL: What are protected characteristics?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UTL: What can I be?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UTL: What is hate crime?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C: Ageism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highlight w:val="lightGray"/>
                <w:rtl w:val="0"/>
              </w:rPr>
              <w:t xml:space="preserve">e-Bug: Oral Hygiene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Aspiration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WB: How do my choices help me to be healthy?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WB: What are healthy habits?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WB: Why is food fuel?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WB: How can I be a hygiene hero?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WB: How does school build my character?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SSH: Sunburn, stings, allergies and anaphylaxis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Advanced self regulation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Creativity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PH: Healthy Teeth</w:t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Science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PH: The importance of sleep and rest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PH: Keeping my body healthy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SSH: Keeping our bodies clean and healthy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SSH: Preventing the spread of disease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PB: How we change during puberty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PB: Menstruation</w:t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PB: Staying clean during puberty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Collaborative problem solving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Pol – Ed Passports: Empathy, Resilience, Fact finding, Informed decision-making,  Risk</w:t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bookmarkStart w:colFirst="0" w:colLast="0" w:name="_heading=h.n11u0ea6af8l" w:id="0"/>
      <w:bookmarkEnd w:id="0"/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45ED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45ED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45ED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E45ED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45ED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45ED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45ED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45ED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45ED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45ED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45ED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45ED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45ED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45ED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45ED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45ED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45ED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45ED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45ED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45ED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45ED2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024DC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24DC2"/>
  </w:style>
  <w:style w:type="paragraph" w:styleId="Footer">
    <w:name w:val="footer"/>
    <w:basedOn w:val="Normal"/>
    <w:link w:val="FooterChar"/>
    <w:uiPriority w:val="99"/>
    <w:unhideWhenUsed w:val="1"/>
    <w:rsid w:val="00024DC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24DC2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A082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A082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mlrO2nRo6s854zC5fF+3zG1TSw==">CgMxLjAyDmgubjExdTBlYTZhZjhsOAByITF4TU5VaXZ5eVdTNEJscDdUMEo2SkZQZEJfWnBSaDJyWg==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2026-04-22T09:21:00Z</dcterms:created>
  <dc:creator>Alice Ndiaye</dc:creator>
</cp:coreProperties>
</file>